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C037" w14:textId="77777777" w:rsidR="0019202F" w:rsidRPr="00E46AC5" w:rsidRDefault="0019202F" w:rsidP="001920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4597"/>
      <w:bookmarkStart w:id="1" w:name="_Hlk174367369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73BBA983" w14:textId="77777777" w:rsidR="0019202F" w:rsidRPr="00E46AC5" w:rsidRDefault="0019202F" w:rsidP="001920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послуг</w:t>
      </w:r>
    </w:p>
    <w:p w14:paraId="14A27958" w14:textId="77777777" w:rsidR="0019202F" w:rsidRDefault="0019202F" w:rsidP="0019202F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proofErr w:type="spellStart"/>
      <w:r w:rsidRPr="0019202F">
        <w:rPr>
          <w:rStyle w:val="a4"/>
          <w:sz w:val="28"/>
          <w:szCs w:val="28"/>
        </w:rPr>
        <w:t>Послуги</w:t>
      </w:r>
      <w:proofErr w:type="spellEnd"/>
      <w:r w:rsidRPr="0019202F">
        <w:rPr>
          <w:rStyle w:val="a4"/>
          <w:sz w:val="28"/>
          <w:szCs w:val="28"/>
        </w:rPr>
        <w:t xml:space="preserve"> з поточного ремонту та </w:t>
      </w:r>
      <w:proofErr w:type="spellStart"/>
      <w:r w:rsidRPr="0019202F">
        <w:rPr>
          <w:rStyle w:val="a4"/>
          <w:sz w:val="28"/>
          <w:szCs w:val="28"/>
        </w:rPr>
        <w:t>обслуговування</w:t>
      </w:r>
      <w:proofErr w:type="spellEnd"/>
      <w:r w:rsidRPr="0019202F">
        <w:rPr>
          <w:rStyle w:val="a4"/>
          <w:sz w:val="28"/>
          <w:szCs w:val="28"/>
        </w:rPr>
        <w:t xml:space="preserve"> </w:t>
      </w:r>
      <w:proofErr w:type="spellStart"/>
      <w:r w:rsidRPr="0019202F">
        <w:rPr>
          <w:rStyle w:val="a4"/>
          <w:sz w:val="28"/>
          <w:szCs w:val="28"/>
        </w:rPr>
        <w:t>комп’ютерної</w:t>
      </w:r>
      <w:proofErr w:type="spellEnd"/>
      <w:r w:rsidRPr="0019202F">
        <w:rPr>
          <w:rStyle w:val="a4"/>
          <w:sz w:val="28"/>
          <w:szCs w:val="28"/>
        </w:rPr>
        <w:t xml:space="preserve"> та </w:t>
      </w:r>
      <w:proofErr w:type="spellStart"/>
      <w:r w:rsidRPr="0019202F">
        <w:rPr>
          <w:rStyle w:val="a4"/>
          <w:sz w:val="28"/>
          <w:szCs w:val="28"/>
        </w:rPr>
        <w:t>організаційної</w:t>
      </w:r>
      <w:proofErr w:type="spellEnd"/>
      <w:r w:rsidRPr="0019202F">
        <w:rPr>
          <w:rStyle w:val="a4"/>
          <w:sz w:val="28"/>
          <w:szCs w:val="28"/>
        </w:rPr>
        <w:t xml:space="preserve"> </w:t>
      </w:r>
      <w:proofErr w:type="spellStart"/>
      <w:r w:rsidRPr="0019202F">
        <w:rPr>
          <w:rStyle w:val="a4"/>
          <w:sz w:val="28"/>
          <w:szCs w:val="28"/>
        </w:rPr>
        <w:t>техніки</w:t>
      </w:r>
      <w:proofErr w:type="spellEnd"/>
      <w:r w:rsidRPr="0019202F">
        <w:rPr>
          <w:rStyle w:val="a4"/>
          <w:sz w:val="28"/>
          <w:szCs w:val="28"/>
        </w:rPr>
        <w:t xml:space="preserve">, а </w:t>
      </w:r>
      <w:proofErr w:type="spellStart"/>
      <w:r w:rsidRPr="0019202F">
        <w:rPr>
          <w:rStyle w:val="a4"/>
          <w:sz w:val="28"/>
          <w:szCs w:val="28"/>
        </w:rPr>
        <w:t>саме</w:t>
      </w:r>
      <w:proofErr w:type="spellEnd"/>
      <w:r w:rsidRPr="0019202F">
        <w:rPr>
          <w:rStyle w:val="a4"/>
          <w:sz w:val="28"/>
          <w:szCs w:val="28"/>
        </w:rPr>
        <w:t xml:space="preserve">: </w:t>
      </w:r>
      <w:proofErr w:type="spellStart"/>
      <w:r w:rsidRPr="0019202F">
        <w:rPr>
          <w:rStyle w:val="a4"/>
          <w:sz w:val="28"/>
          <w:szCs w:val="28"/>
        </w:rPr>
        <w:t>послуги</w:t>
      </w:r>
      <w:proofErr w:type="spellEnd"/>
      <w:r w:rsidRPr="0019202F">
        <w:rPr>
          <w:rStyle w:val="a4"/>
          <w:sz w:val="28"/>
          <w:szCs w:val="28"/>
        </w:rPr>
        <w:t xml:space="preserve"> з заправки та </w:t>
      </w:r>
      <w:proofErr w:type="spellStart"/>
      <w:r w:rsidRPr="0019202F">
        <w:rPr>
          <w:rStyle w:val="a4"/>
          <w:sz w:val="28"/>
          <w:szCs w:val="28"/>
        </w:rPr>
        <w:t>відновлення</w:t>
      </w:r>
      <w:proofErr w:type="spellEnd"/>
      <w:r w:rsidRPr="0019202F">
        <w:rPr>
          <w:rStyle w:val="a4"/>
          <w:sz w:val="28"/>
          <w:szCs w:val="28"/>
        </w:rPr>
        <w:t xml:space="preserve"> </w:t>
      </w:r>
      <w:proofErr w:type="spellStart"/>
      <w:r w:rsidRPr="0019202F">
        <w:rPr>
          <w:rStyle w:val="a4"/>
          <w:sz w:val="28"/>
          <w:szCs w:val="28"/>
        </w:rPr>
        <w:t>картриджів</w:t>
      </w:r>
      <w:proofErr w:type="spellEnd"/>
    </w:p>
    <w:p w14:paraId="4C596A54" w14:textId="077B686D" w:rsidR="0019202F" w:rsidRPr="00E46AC5" w:rsidRDefault="0019202F" w:rsidP="0019202F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="00D8051A" w:rsidRPr="00D8051A">
        <w:rPr>
          <w:rStyle w:val="a4"/>
          <w:sz w:val="28"/>
          <w:szCs w:val="28"/>
        </w:rPr>
        <w:t xml:space="preserve">50310000-1 </w:t>
      </w:r>
      <w:proofErr w:type="spellStart"/>
      <w:r w:rsidR="00D8051A" w:rsidRPr="00D8051A">
        <w:rPr>
          <w:rStyle w:val="a4"/>
          <w:sz w:val="28"/>
          <w:szCs w:val="28"/>
        </w:rPr>
        <w:t>Технічне</w:t>
      </w:r>
      <w:proofErr w:type="spellEnd"/>
      <w:r w:rsidR="00D8051A" w:rsidRPr="00D8051A">
        <w:rPr>
          <w:rStyle w:val="a4"/>
          <w:sz w:val="28"/>
          <w:szCs w:val="28"/>
        </w:rPr>
        <w:t xml:space="preserve"> </w:t>
      </w:r>
      <w:proofErr w:type="spellStart"/>
      <w:r w:rsidR="00D8051A" w:rsidRPr="00D8051A">
        <w:rPr>
          <w:rStyle w:val="a4"/>
          <w:sz w:val="28"/>
          <w:szCs w:val="28"/>
        </w:rPr>
        <w:t>обслуговування</w:t>
      </w:r>
      <w:proofErr w:type="spellEnd"/>
      <w:r w:rsidR="00D8051A" w:rsidRPr="00D8051A">
        <w:rPr>
          <w:rStyle w:val="a4"/>
          <w:sz w:val="28"/>
          <w:szCs w:val="28"/>
        </w:rPr>
        <w:t xml:space="preserve"> і ремонт </w:t>
      </w:r>
      <w:proofErr w:type="spellStart"/>
      <w:r w:rsidR="00D8051A" w:rsidRPr="00D8051A">
        <w:rPr>
          <w:rStyle w:val="a4"/>
          <w:sz w:val="28"/>
          <w:szCs w:val="28"/>
        </w:rPr>
        <w:t>офісної</w:t>
      </w:r>
      <w:proofErr w:type="spellEnd"/>
      <w:r w:rsidR="00D8051A" w:rsidRPr="00D8051A">
        <w:rPr>
          <w:rStyle w:val="a4"/>
          <w:sz w:val="28"/>
          <w:szCs w:val="28"/>
        </w:rPr>
        <w:t xml:space="preserve"> </w:t>
      </w:r>
      <w:proofErr w:type="spellStart"/>
      <w:r w:rsidR="00D8051A" w:rsidRPr="00D8051A">
        <w:rPr>
          <w:rStyle w:val="a4"/>
          <w:sz w:val="28"/>
          <w:szCs w:val="28"/>
        </w:rPr>
        <w:t>техніки</w:t>
      </w:r>
      <w:proofErr w:type="spellEnd"/>
      <w:r w:rsidR="00D8051A" w:rsidRPr="00D8051A">
        <w:rPr>
          <w:rStyle w:val="a4"/>
          <w:sz w:val="28"/>
          <w:szCs w:val="28"/>
        </w:rPr>
        <w:t xml:space="preserve"> </w:t>
      </w:r>
      <w:r w:rsidRPr="00AE3C2F">
        <w:rPr>
          <w:rStyle w:val="a4"/>
          <w:sz w:val="28"/>
          <w:szCs w:val="28"/>
        </w:rPr>
        <w:t xml:space="preserve"> </w:t>
      </w:r>
      <w:r w:rsidRPr="00E46AC5">
        <w:rPr>
          <w:sz w:val="28"/>
          <w:szCs w:val="28"/>
        </w:rPr>
        <w:t> </w:t>
      </w:r>
    </w:p>
    <w:p w14:paraId="1D50E565" w14:textId="4F204E6E" w:rsidR="0019202F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bookmarkStart w:id="2" w:name="_Hlk174364127"/>
      <w:r>
        <w:rPr>
          <w:sz w:val="28"/>
          <w:szCs w:val="28"/>
          <w:lang w:val="uk-UA"/>
        </w:rPr>
        <w:t>оголошено закупівлю відкриті торги з особливостями на 2024 рік</w:t>
      </w:r>
      <w:r w:rsidRPr="00E46AC5">
        <w:rPr>
          <w:sz w:val="28"/>
          <w:szCs w:val="28"/>
        </w:rPr>
        <w:t xml:space="preserve">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послуг</w:t>
      </w:r>
      <w:bookmarkEnd w:id="2"/>
      <w:r>
        <w:rPr>
          <w:sz w:val="28"/>
          <w:szCs w:val="28"/>
          <w:lang w:val="uk-UA"/>
        </w:rPr>
        <w:t>.</w:t>
      </w:r>
      <w:r w:rsidRPr="00E46AC5">
        <w:rPr>
          <w:sz w:val="28"/>
          <w:szCs w:val="28"/>
        </w:rPr>
        <w:t xml:space="preserve"> </w:t>
      </w:r>
    </w:p>
    <w:p w14:paraId="437D2091" w14:textId="77777777" w:rsidR="0019202F" w:rsidRPr="0000146E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AE3C2F">
        <w:rPr>
          <w:sz w:val="28"/>
          <w:szCs w:val="28"/>
        </w:rPr>
        <w:t>Відкриті</w:t>
      </w:r>
      <w:proofErr w:type="spellEnd"/>
      <w:r w:rsidRPr="00AE3C2F">
        <w:rPr>
          <w:sz w:val="28"/>
          <w:szCs w:val="28"/>
        </w:rPr>
        <w:t xml:space="preserve"> торги з </w:t>
      </w:r>
      <w:proofErr w:type="spellStart"/>
      <w:r w:rsidRPr="00AE3C2F">
        <w:rPr>
          <w:sz w:val="28"/>
          <w:szCs w:val="28"/>
        </w:rPr>
        <w:t>особливостями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застосовуються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відповідно</w:t>
      </w:r>
      <w:proofErr w:type="spellEnd"/>
      <w:r w:rsidRPr="00AE3C2F">
        <w:rPr>
          <w:sz w:val="28"/>
          <w:szCs w:val="28"/>
        </w:rPr>
        <w:t xml:space="preserve"> до п.10 Постанови </w:t>
      </w:r>
      <w:proofErr w:type="spellStart"/>
      <w:r w:rsidRPr="00AE3C2F">
        <w:rPr>
          <w:sz w:val="28"/>
          <w:szCs w:val="28"/>
        </w:rPr>
        <w:t>від</w:t>
      </w:r>
      <w:proofErr w:type="spellEnd"/>
      <w:r w:rsidRPr="00AE3C2F">
        <w:rPr>
          <w:sz w:val="28"/>
          <w:szCs w:val="28"/>
        </w:rPr>
        <w:t xml:space="preserve"> 12 </w:t>
      </w:r>
      <w:proofErr w:type="spellStart"/>
      <w:r w:rsidRPr="00AE3C2F">
        <w:rPr>
          <w:sz w:val="28"/>
          <w:szCs w:val="28"/>
        </w:rPr>
        <w:t>жовтня</w:t>
      </w:r>
      <w:proofErr w:type="spellEnd"/>
      <w:r w:rsidRPr="00AE3C2F">
        <w:rPr>
          <w:sz w:val="28"/>
          <w:szCs w:val="28"/>
        </w:rPr>
        <w:t xml:space="preserve"> 2022 р. № 1178 «Про </w:t>
      </w:r>
      <w:proofErr w:type="spellStart"/>
      <w:r w:rsidRPr="00AE3C2F">
        <w:rPr>
          <w:sz w:val="28"/>
          <w:szCs w:val="28"/>
        </w:rPr>
        <w:t>затвердження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особливостей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здійснення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публічних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закупівель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товарів</w:t>
      </w:r>
      <w:proofErr w:type="spellEnd"/>
      <w:r w:rsidRPr="00AE3C2F">
        <w:rPr>
          <w:sz w:val="28"/>
          <w:szCs w:val="28"/>
        </w:rPr>
        <w:t xml:space="preserve">, </w:t>
      </w:r>
      <w:proofErr w:type="spellStart"/>
      <w:r w:rsidRPr="00AE3C2F">
        <w:rPr>
          <w:sz w:val="28"/>
          <w:szCs w:val="28"/>
        </w:rPr>
        <w:t>робіт</w:t>
      </w:r>
      <w:proofErr w:type="spellEnd"/>
      <w:r w:rsidRPr="00AE3C2F">
        <w:rPr>
          <w:sz w:val="28"/>
          <w:szCs w:val="28"/>
        </w:rPr>
        <w:t xml:space="preserve"> і </w:t>
      </w:r>
      <w:proofErr w:type="spellStart"/>
      <w:r w:rsidRPr="00AE3C2F">
        <w:rPr>
          <w:sz w:val="28"/>
          <w:szCs w:val="28"/>
        </w:rPr>
        <w:t>послуг</w:t>
      </w:r>
      <w:proofErr w:type="spellEnd"/>
      <w:r w:rsidRPr="00AE3C2F">
        <w:rPr>
          <w:sz w:val="28"/>
          <w:szCs w:val="28"/>
        </w:rPr>
        <w:t xml:space="preserve"> для </w:t>
      </w:r>
      <w:proofErr w:type="spellStart"/>
      <w:r w:rsidRPr="00AE3C2F">
        <w:rPr>
          <w:sz w:val="28"/>
          <w:szCs w:val="28"/>
        </w:rPr>
        <w:t>замовників</w:t>
      </w:r>
      <w:proofErr w:type="spellEnd"/>
      <w:r w:rsidRPr="00AE3C2F">
        <w:rPr>
          <w:sz w:val="28"/>
          <w:szCs w:val="28"/>
        </w:rPr>
        <w:t xml:space="preserve">, </w:t>
      </w:r>
      <w:proofErr w:type="spellStart"/>
      <w:r w:rsidRPr="00AE3C2F">
        <w:rPr>
          <w:sz w:val="28"/>
          <w:szCs w:val="28"/>
        </w:rPr>
        <w:t>передбачених</w:t>
      </w:r>
      <w:proofErr w:type="spellEnd"/>
      <w:r w:rsidRPr="00AE3C2F">
        <w:rPr>
          <w:sz w:val="28"/>
          <w:szCs w:val="28"/>
        </w:rPr>
        <w:t xml:space="preserve"> Законом </w:t>
      </w:r>
      <w:proofErr w:type="spellStart"/>
      <w:r w:rsidRPr="00AE3C2F">
        <w:rPr>
          <w:sz w:val="28"/>
          <w:szCs w:val="28"/>
        </w:rPr>
        <w:t>України</w:t>
      </w:r>
      <w:proofErr w:type="spellEnd"/>
      <w:r w:rsidRPr="00AE3C2F">
        <w:rPr>
          <w:sz w:val="28"/>
          <w:szCs w:val="28"/>
        </w:rPr>
        <w:t xml:space="preserve"> “Про </w:t>
      </w:r>
      <w:proofErr w:type="spellStart"/>
      <w:r w:rsidRPr="00AE3C2F">
        <w:rPr>
          <w:sz w:val="28"/>
          <w:szCs w:val="28"/>
        </w:rPr>
        <w:t>публічні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закупівлі</w:t>
      </w:r>
      <w:proofErr w:type="spellEnd"/>
      <w:r w:rsidRPr="00AE3C2F">
        <w:rPr>
          <w:sz w:val="28"/>
          <w:szCs w:val="28"/>
        </w:rPr>
        <w:t xml:space="preserve">”, на </w:t>
      </w:r>
      <w:proofErr w:type="spellStart"/>
      <w:r w:rsidRPr="00AE3C2F">
        <w:rPr>
          <w:sz w:val="28"/>
          <w:szCs w:val="28"/>
        </w:rPr>
        <w:t>період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дії</w:t>
      </w:r>
      <w:proofErr w:type="spellEnd"/>
      <w:r w:rsidRPr="00AE3C2F">
        <w:rPr>
          <w:sz w:val="28"/>
          <w:szCs w:val="28"/>
        </w:rPr>
        <w:t xml:space="preserve"> правового режиму </w:t>
      </w:r>
      <w:proofErr w:type="spellStart"/>
      <w:r w:rsidRPr="00AE3C2F">
        <w:rPr>
          <w:sz w:val="28"/>
          <w:szCs w:val="28"/>
        </w:rPr>
        <w:t>воєнного</w:t>
      </w:r>
      <w:proofErr w:type="spellEnd"/>
      <w:r w:rsidRPr="00AE3C2F">
        <w:rPr>
          <w:sz w:val="28"/>
          <w:szCs w:val="28"/>
        </w:rPr>
        <w:t xml:space="preserve"> стану в </w:t>
      </w:r>
      <w:proofErr w:type="spellStart"/>
      <w:r w:rsidRPr="00AE3C2F">
        <w:rPr>
          <w:sz w:val="28"/>
          <w:szCs w:val="28"/>
        </w:rPr>
        <w:t>Україні</w:t>
      </w:r>
      <w:proofErr w:type="spellEnd"/>
      <w:r w:rsidRPr="00AE3C2F">
        <w:rPr>
          <w:sz w:val="28"/>
          <w:szCs w:val="28"/>
        </w:rPr>
        <w:t xml:space="preserve"> та </w:t>
      </w:r>
      <w:proofErr w:type="spellStart"/>
      <w:r w:rsidRPr="00AE3C2F">
        <w:rPr>
          <w:sz w:val="28"/>
          <w:szCs w:val="28"/>
        </w:rPr>
        <w:t>протягом</w:t>
      </w:r>
      <w:proofErr w:type="spellEnd"/>
      <w:r w:rsidRPr="00AE3C2F">
        <w:rPr>
          <w:sz w:val="28"/>
          <w:szCs w:val="28"/>
        </w:rPr>
        <w:t xml:space="preserve"> 90 </w:t>
      </w:r>
      <w:proofErr w:type="spellStart"/>
      <w:r w:rsidRPr="00AE3C2F">
        <w:rPr>
          <w:sz w:val="28"/>
          <w:szCs w:val="28"/>
        </w:rPr>
        <w:t>днів</w:t>
      </w:r>
      <w:proofErr w:type="spellEnd"/>
      <w:r w:rsidRPr="00AE3C2F">
        <w:rPr>
          <w:sz w:val="28"/>
          <w:szCs w:val="28"/>
        </w:rPr>
        <w:t xml:space="preserve"> з дня </w:t>
      </w:r>
      <w:proofErr w:type="spellStart"/>
      <w:r w:rsidRPr="00AE3C2F">
        <w:rPr>
          <w:sz w:val="28"/>
          <w:szCs w:val="28"/>
        </w:rPr>
        <w:t>його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припинення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або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скасування</w:t>
      </w:r>
      <w:proofErr w:type="spellEnd"/>
      <w:r w:rsidRPr="00AE3C2F">
        <w:rPr>
          <w:sz w:val="28"/>
          <w:szCs w:val="28"/>
        </w:rPr>
        <w:t xml:space="preserve">» та Закону </w:t>
      </w:r>
      <w:proofErr w:type="spellStart"/>
      <w:r w:rsidRPr="00AE3C2F">
        <w:rPr>
          <w:sz w:val="28"/>
          <w:szCs w:val="28"/>
        </w:rPr>
        <w:t>України</w:t>
      </w:r>
      <w:proofErr w:type="spellEnd"/>
      <w:r w:rsidRPr="00AE3C2F">
        <w:rPr>
          <w:sz w:val="28"/>
          <w:szCs w:val="28"/>
        </w:rPr>
        <w:t xml:space="preserve"> “Про </w:t>
      </w:r>
      <w:proofErr w:type="spellStart"/>
      <w:r w:rsidRPr="00AE3C2F">
        <w:rPr>
          <w:sz w:val="28"/>
          <w:szCs w:val="28"/>
        </w:rPr>
        <w:t>публічні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закупівліˮ</w:t>
      </w:r>
      <w:proofErr w:type="spellEnd"/>
      <w:r>
        <w:rPr>
          <w:sz w:val="28"/>
          <w:szCs w:val="28"/>
          <w:lang w:val="uk-UA"/>
        </w:rPr>
        <w:t>.</w:t>
      </w:r>
    </w:p>
    <w:p w14:paraId="32574274" w14:textId="7BA3E64C" w:rsidR="0019202F" w:rsidRPr="00E46AC5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589D2592" w14:textId="127E32DE" w:rsidR="0019202F" w:rsidRPr="00E46AC5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proofErr w:type="spellStart"/>
      <w:r w:rsidRPr="00AE3C2F">
        <w:rPr>
          <w:sz w:val="28"/>
          <w:szCs w:val="28"/>
        </w:rPr>
        <w:t>Оголошення</w:t>
      </w:r>
      <w:proofErr w:type="spellEnd"/>
      <w:r w:rsidRPr="00AE3C2F">
        <w:rPr>
          <w:sz w:val="28"/>
          <w:szCs w:val="28"/>
        </w:rPr>
        <w:t xml:space="preserve"> про </w:t>
      </w:r>
      <w:proofErr w:type="spellStart"/>
      <w:r w:rsidRPr="00AE3C2F">
        <w:rPr>
          <w:sz w:val="28"/>
          <w:szCs w:val="28"/>
        </w:rPr>
        <w:t>проведення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відкритих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торгів</w:t>
      </w:r>
      <w:proofErr w:type="spellEnd"/>
      <w:r w:rsidRPr="00AE3C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особливостями </w:t>
      </w:r>
      <w:r w:rsidRPr="0019202F">
        <w:rPr>
          <w:sz w:val="28"/>
          <w:szCs w:val="28"/>
          <w:lang w:val="uk-UA"/>
        </w:rPr>
        <w:tab/>
        <w:t>UA-2024-05-02-010574-a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1FB72C2E" w14:textId="068092AB" w:rsidR="0019202F" w:rsidRPr="0000146E" w:rsidRDefault="0019202F" w:rsidP="001920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46E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00146E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00146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014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Pr="00001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0146E">
        <w:rPr>
          <w:rFonts w:ascii="Times New Roman" w:hAnsi="Times New Roman" w:cs="Times New Roman"/>
          <w:sz w:val="28"/>
          <w:szCs w:val="28"/>
          <w:lang w:val="uk-UA"/>
        </w:rPr>
        <w:t>00,00</w:t>
      </w:r>
      <w:r w:rsidRPr="0000146E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5126A7E4" w14:textId="77777777" w:rsidR="0019202F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 xml:space="preserve">. </w:t>
      </w:r>
    </w:p>
    <w:p w14:paraId="5D026DA2" w14:textId="77777777" w:rsidR="00A979E9" w:rsidRDefault="00A979E9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2583941D" w14:textId="77777777" w:rsidR="00A979E9" w:rsidRPr="00A979E9" w:rsidRDefault="00A979E9" w:rsidP="00A979E9">
      <w:pPr>
        <w:tabs>
          <w:tab w:val="num" w:pos="426"/>
          <w:tab w:val="left" w:pos="567"/>
          <w:tab w:val="left" w:pos="1560"/>
          <w:tab w:val="right" w:leader="underscore" w:pos="9923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color w:val="000000"/>
          <w:kern w:val="0"/>
          <w:lang w:val="uk-UA" w:eastAsia="ru-RU"/>
          <w14:ligatures w14:val="non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8"/>
        <w:gridCol w:w="5486"/>
        <w:gridCol w:w="3301"/>
      </w:tblGrid>
      <w:tr w:rsidR="00A979E9" w:rsidRPr="00A979E9" w14:paraId="6E46A490" w14:textId="77777777" w:rsidTr="002022D6">
        <w:tc>
          <w:tcPr>
            <w:tcW w:w="562" w:type="dxa"/>
          </w:tcPr>
          <w:p w14:paraId="43D5EDE8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з/п</w:t>
            </w:r>
          </w:p>
        </w:tc>
        <w:tc>
          <w:tcPr>
            <w:tcW w:w="5670" w:type="dxa"/>
            <w:vAlign w:val="center"/>
          </w:tcPr>
          <w:p w14:paraId="0114C12A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Найменування послуг</w:t>
            </w:r>
          </w:p>
        </w:tc>
        <w:tc>
          <w:tcPr>
            <w:tcW w:w="3397" w:type="dxa"/>
            <w:vAlign w:val="center"/>
          </w:tcPr>
          <w:p w14:paraId="1443209B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Кількість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відновлень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/заправок</w:t>
            </w:r>
          </w:p>
        </w:tc>
      </w:tr>
      <w:tr w:rsidR="00A979E9" w:rsidRPr="00A979E9" w14:paraId="2D353FA4" w14:textId="77777777" w:rsidTr="002022D6">
        <w:tc>
          <w:tcPr>
            <w:tcW w:w="9629" w:type="dxa"/>
            <w:gridSpan w:val="3"/>
          </w:tcPr>
          <w:p w14:paraId="27240DE1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lang w:eastAsia="ar-SA"/>
              </w:rPr>
              <w:t>Відновлення картриджів:</w:t>
            </w:r>
          </w:p>
        </w:tc>
      </w:tr>
      <w:tr w:rsidR="00A979E9" w:rsidRPr="00A979E9" w14:paraId="2E9FC986" w14:textId="77777777" w:rsidTr="002022D6">
        <w:tc>
          <w:tcPr>
            <w:tcW w:w="562" w:type="dxa"/>
          </w:tcPr>
          <w:p w14:paraId="6ED73451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vAlign w:val="bottom"/>
          </w:tcPr>
          <w:p w14:paraId="50FEFB0A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val="en-US"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725</w:t>
            </w:r>
          </w:p>
        </w:tc>
        <w:tc>
          <w:tcPr>
            <w:tcW w:w="3397" w:type="dxa"/>
            <w:vAlign w:val="bottom"/>
          </w:tcPr>
          <w:p w14:paraId="60F192F6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</w:t>
            </w:r>
          </w:p>
        </w:tc>
      </w:tr>
      <w:tr w:rsidR="00A979E9" w:rsidRPr="00A979E9" w14:paraId="105ABFEE" w14:textId="77777777" w:rsidTr="002022D6">
        <w:tc>
          <w:tcPr>
            <w:tcW w:w="562" w:type="dxa"/>
          </w:tcPr>
          <w:p w14:paraId="4302F192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0" w:type="dxa"/>
            <w:vAlign w:val="bottom"/>
          </w:tcPr>
          <w:p w14:paraId="62FA4A59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726</w:t>
            </w:r>
          </w:p>
        </w:tc>
        <w:tc>
          <w:tcPr>
            <w:tcW w:w="3397" w:type="dxa"/>
            <w:vAlign w:val="bottom"/>
          </w:tcPr>
          <w:p w14:paraId="37033025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  <w:tr w:rsidR="00A979E9" w:rsidRPr="00A979E9" w14:paraId="323CA251" w14:textId="77777777" w:rsidTr="002022D6">
        <w:tc>
          <w:tcPr>
            <w:tcW w:w="562" w:type="dxa"/>
          </w:tcPr>
          <w:p w14:paraId="0481C1B1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bottom"/>
          </w:tcPr>
          <w:p w14:paraId="00F04792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737</w:t>
            </w:r>
          </w:p>
        </w:tc>
        <w:tc>
          <w:tcPr>
            <w:tcW w:w="3397" w:type="dxa"/>
            <w:vAlign w:val="bottom"/>
          </w:tcPr>
          <w:p w14:paraId="1CF65C38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30</w:t>
            </w:r>
          </w:p>
        </w:tc>
      </w:tr>
      <w:tr w:rsidR="00A979E9" w:rsidRPr="00A979E9" w14:paraId="53FC7983" w14:textId="77777777" w:rsidTr="002022D6">
        <w:tc>
          <w:tcPr>
            <w:tcW w:w="562" w:type="dxa"/>
          </w:tcPr>
          <w:p w14:paraId="5B2BD7D3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vAlign w:val="bottom"/>
          </w:tcPr>
          <w:p w14:paraId="3C03AC68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C-EXV40</w:t>
            </w:r>
          </w:p>
        </w:tc>
        <w:tc>
          <w:tcPr>
            <w:tcW w:w="3397" w:type="dxa"/>
            <w:vAlign w:val="bottom"/>
          </w:tcPr>
          <w:p w14:paraId="73F9DF67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</w:tr>
      <w:tr w:rsidR="00A979E9" w:rsidRPr="00A979E9" w14:paraId="340591A8" w14:textId="77777777" w:rsidTr="002022D6">
        <w:tc>
          <w:tcPr>
            <w:tcW w:w="562" w:type="dxa"/>
          </w:tcPr>
          <w:p w14:paraId="17CE839D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vAlign w:val="bottom"/>
          </w:tcPr>
          <w:p w14:paraId="689BDC86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HP 17 A</w:t>
            </w:r>
          </w:p>
        </w:tc>
        <w:tc>
          <w:tcPr>
            <w:tcW w:w="3397" w:type="dxa"/>
            <w:vAlign w:val="bottom"/>
          </w:tcPr>
          <w:p w14:paraId="3E67ED40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A979E9" w:rsidRPr="00A979E9" w14:paraId="673E44BE" w14:textId="77777777" w:rsidTr="002022D6">
        <w:tc>
          <w:tcPr>
            <w:tcW w:w="562" w:type="dxa"/>
          </w:tcPr>
          <w:p w14:paraId="54B1B8F7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0" w:type="dxa"/>
            <w:vAlign w:val="bottom"/>
          </w:tcPr>
          <w:p w14:paraId="4111BAE4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HP 30 A</w:t>
            </w:r>
          </w:p>
        </w:tc>
        <w:tc>
          <w:tcPr>
            <w:tcW w:w="3397" w:type="dxa"/>
            <w:vAlign w:val="bottom"/>
          </w:tcPr>
          <w:p w14:paraId="603B8A87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</w:tr>
      <w:tr w:rsidR="00A979E9" w:rsidRPr="00A979E9" w14:paraId="39AFAE78" w14:textId="77777777" w:rsidTr="002022D6">
        <w:tc>
          <w:tcPr>
            <w:tcW w:w="562" w:type="dxa"/>
          </w:tcPr>
          <w:p w14:paraId="5AE015D9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0" w:type="dxa"/>
            <w:vAlign w:val="bottom"/>
          </w:tcPr>
          <w:p w14:paraId="61B30417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Sumsung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MLT-D111S</w:t>
            </w:r>
          </w:p>
        </w:tc>
        <w:tc>
          <w:tcPr>
            <w:tcW w:w="3397" w:type="dxa"/>
            <w:vAlign w:val="bottom"/>
          </w:tcPr>
          <w:p w14:paraId="2BB0D387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</w:tr>
      <w:tr w:rsidR="00A979E9" w:rsidRPr="00A979E9" w14:paraId="682E0927" w14:textId="77777777" w:rsidTr="002022D6">
        <w:tc>
          <w:tcPr>
            <w:tcW w:w="562" w:type="dxa"/>
          </w:tcPr>
          <w:p w14:paraId="23C515ED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0" w:type="dxa"/>
            <w:vAlign w:val="bottom"/>
          </w:tcPr>
          <w:p w14:paraId="5AE6E0E4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045</w:t>
            </w:r>
          </w:p>
        </w:tc>
        <w:tc>
          <w:tcPr>
            <w:tcW w:w="3397" w:type="dxa"/>
            <w:vAlign w:val="bottom"/>
          </w:tcPr>
          <w:p w14:paraId="664E62B8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</w:tr>
      <w:tr w:rsidR="00A979E9" w:rsidRPr="00A979E9" w14:paraId="22B3EFBF" w14:textId="77777777" w:rsidTr="002022D6">
        <w:tc>
          <w:tcPr>
            <w:tcW w:w="562" w:type="dxa"/>
          </w:tcPr>
          <w:p w14:paraId="492214FA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0" w:type="dxa"/>
            <w:vAlign w:val="bottom"/>
          </w:tcPr>
          <w:p w14:paraId="3B8BA5AB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057</w:t>
            </w:r>
          </w:p>
        </w:tc>
        <w:tc>
          <w:tcPr>
            <w:tcW w:w="3397" w:type="dxa"/>
            <w:vAlign w:val="bottom"/>
          </w:tcPr>
          <w:p w14:paraId="775F6BB5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</w:t>
            </w:r>
          </w:p>
        </w:tc>
      </w:tr>
      <w:tr w:rsidR="00A979E9" w:rsidRPr="00A979E9" w14:paraId="0857A470" w14:textId="77777777" w:rsidTr="002022D6">
        <w:tc>
          <w:tcPr>
            <w:tcW w:w="9629" w:type="dxa"/>
            <w:gridSpan w:val="3"/>
          </w:tcPr>
          <w:p w14:paraId="6C0148ED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lang w:eastAsia="ar-SA"/>
              </w:rPr>
              <w:t>Заправка картриджів:</w:t>
            </w:r>
          </w:p>
        </w:tc>
      </w:tr>
      <w:tr w:rsidR="00A979E9" w:rsidRPr="00A979E9" w14:paraId="6CFB3F4B" w14:textId="77777777" w:rsidTr="002022D6">
        <w:tc>
          <w:tcPr>
            <w:tcW w:w="562" w:type="dxa"/>
          </w:tcPr>
          <w:p w14:paraId="254C0560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vAlign w:val="bottom"/>
          </w:tcPr>
          <w:p w14:paraId="7076FF8D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val="en-US"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725</w:t>
            </w:r>
          </w:p>
        </w:tc>
        <w:tc>
          <w:tcPr>
            <w:tcW w:w="3397" w:type="dxa"/>
            <w:vAlign w:val="bottom"/>
          </w:tcPr>
          <w:p w14:paraId="2036AF99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45</w:t>
            </w:r>
          </w:p>
        </w:tc>
      </w:tr>
      <w:tr w:rsidR="00A979E9" w:rsidRPr="00A979E9" w14:paraId="7EFCE929" w14:textId="77777777" w:rsidTr="002022D6">
        <w:tc>
          <w:tcPr>
            <w:tcW w:w="562" w:type="dxa"/>
          </w:tcPr>
          <w:p w14:paraId="7DB821B8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0" w:type="dxa"/>
            <w:vAlign w:val="bottom"/>
          </w:tcPr>
          <w:p w14:paraId="1BF28B41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726</w:t>
            </w:r>
          </w:p>
        </w:tc>
        <w:tc>
          <w:tcPr>
            <w:tcW w:w="3397" w:type="dxa"/>
            <w:vAlign w:val="bottom"/>
          </w:tcPr>
          <w:p w14:paraId="42D4F662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</w:t>
            </w:r>
          </w:p>
        </w:tc>
      </w:tr>
      <w:tr w:rsidR="00A979E9" w:rsidRPr="00A979E9" w14:paraId="53457C54" w14:textId="77777777" w:rsidTr="002022D6">
        <w:tc>
          <w:tcPr>
            <w:tcW w:w="562" w:type="dxa"/>
          </w:tcPr>
          <w:p w14:paraId="4789C8BF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bottom"/>
          </w:tcPr>
          <w:p w14:paraId="0BE73529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737</w:t>
            </w:r>
          </w:p>
        </w:tc>
        <w:tc>
          <w:tcPr>
            <w:tcW w:w="3397" w:type="dxa"/>
            <w:vAlign w:val="bottom"/>
          </w:tcPr>
          <w:p w14:paraId="3FEF1D58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50</w:t>
            </w:r>
          </w:p>
        </w:tc>
      </w:tr>
      <w:tr w:rsidR="00A979E9" w:rsidRPr="00A979E9" w14:paraId="7F160FFE" w14:textId="77777777" w:rsidTr="002022D6">
        <w:tc>
          <w:tcPr>
            <w:tcW w:w="562" w:type="dxa"/>
          </w:tcPr>
          <w:p w14:paraId="2BBF87AC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vAlign w:val="bottom"/>
          </w:tcPr>
          <w:p w14:paraId="6DC48D33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C-EXV40</w:t>
            </w:r>
          </w:p>
        </w:tc>
        <w:tc>
          <w:tcPr>
            <w:tcW w:w="3397" w:type="dxa"/>
            <w:vAlign w:val="bottom"/>
          </w:tcPr>
          <w:p w14:paraId="2869D4D1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30</w:t>
            </w:r>
          </w:p>
        </w:tc>
      </w:tr>
      <w:tr w:rsidR="00A979E9" w:rsidRPr="00A979E9" w14:paraId="6B51490A" w14:textId="77777777" w:rsidTr="002022D6">
        <w:tc>
          <w:tcPr>
            <w:tcW w:w="562" w:type="dxa"/>
          </w:tcPr>
          <w:p w14:paraId="0C707AB6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670" w:type="dxa"/>
            <w:vAlign w:val="bottom"/>
          </w:tcPr>
          <w:p w14:paraId="52206046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HP 17 A</w:t>
            </w:r>
          </w:p>
        </w:tc>
        <w:tc>
          <w:tcPr>
            <w:tcW w:w="3397" w:type="dxa"/>
            <w:vAlign w:val="bottom"/>
          </w:tcPr>
          <w:p w14:paraId="3F1A3432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A979E9" w:rsidRPr="00A979E9" w14:paraId="06BD14B9" w14:textId="77777777" w:rsidTr="002022D6">
        <w:tc>
          <w:tcPr>
            <w:tcW w:w="562" w:type="dxa"/>
          </w:tcPr>
          <w:p w14:paraId="286BED89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0" w:type="dxa"/>
            <w:vAlign w:val="bottom"/>
          </w:tcPr>
          <w:p w14:paraId="4F845FA2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HP 30 A</w:t>
            </w:r>
          </w:p>
        </w:tc>
        <w:tc>
          <w:tcPr>
            <w:tcW w:w="3397" w:type="dxa"/>
            <w:vAlign w:val="bottom"/>
          </w:tcPr>
          <w:p w14:paraId="2455B2E7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</w:tr>
      <w:tr w:rsidR="00A979E9" w:rsidRPr="00A979E9" w14:paraId="013F89E1" w14:textId="77777777" w:rsidTr="002022D6">
        <w:tc>
          <w:tcPr>
            <w:tcW w:w="562" w:type="dxa"/>
          </w:tcPr>
          <w:p w14:paraId="1ED0B7A7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0" w:type="dxa"/>
            <w:vAlign w:val="bottom"/>
          </w:tcPr>
          <w:p w14:paraId="48224F38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Sumsung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MLT-D111S</w:t>
            </w:r>
          </w:p>
        </w:tc>
        <w:tc>
          <w:tcPr>
            <w:tcW w:w="3397" w:type="dxa"/>
            <w:vAlign w:val="bottom"/>
          </w:tcPr>
          <w:p w14:paraId="6745F11B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</w:t>
            </w:r>
          </w:p>
        </w:tc>
      </w:tr>
      <w:tr w:rsidR="00A979E9" w:rsidRPr="00A979E9" w14:paraId="6C840AA3" w14:textId="77777777" w:rsidTr="002022D6">
        <w:tc>
          <w:tcPr>
            <w:tcW w:w="562" w:type="dxa"/>
          </w:tcPr>
          <w:p w14:paraId="7D9933E2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0" w:type="dxa"/>
            <w:vAlign w:val="bottom"/>
          </w:tcPr>
          <w:p w14:paraId="79685950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045</w:t>
            </w:r>
          </w:p>
        </w:tc>
        <w:tc>
          <w:tcPr>
            <w:tcW w:w="3397" w:type="dxa"/>
            <w:vAlign w:val="bottom"/>
          </w:tcPr>
          <w:p w14:paraId="33375351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30</w:t>
            </w:r>
          </w:p>
        </w:tc>
      </w:tr>
      <w:tr w:rsidR="00A979E9" w:rsidRPr="00A979E9" w14:paraId="126D8E05" w14:textId="77777777" w:rsidTr="002022D6">
        <w:tc>
          <w:tcPr>
            <w:tcW w:w="562" w:type="dxa"/>
          </w:tcPr>
          <w:p w14:paraId="2099029B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Arial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0" w:type="dxa"/>
            <w:vAlign w:val="bottom"/>
          </w:tcPr>
          <w:p w14:paraId="2905C3A9" w14:textId="77777777" w:rsidR="00A979E9" w:rsidRPr="00A979E9" w:rsidRDefault="00A979E9" w:rsidP="00A979E9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suppressAutoHyphens/>
              <w:ind w:right="-1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 xml:space="preserve"> 057</w:t>
            </w:r>
          </w:p>
        </w:tc>
        <w:tc>
          <w:tcPr>
            <w:tcW w:w="3397" w:type="dxa"/>
            <w:vAlign w:val="bottom"/>
          </w:tcPr>
          <w:p w14:paraId="5D2FEB95" w14:textId="77777777" w:rsidR="00A979E9" w:rsidRPr="00A979E9" w:rsidRDefault="00A979E9" w:rsidP="00A979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40</w:t>
            </w:r>
          </w:p>
        </w:tc>
      </w:tr>
    </w:tbl>
    <w:p w14:paraId="0FEE15F5" w14:textId="77777777" w:rsidR="00A979E9" w:rsidRPr="00A979E9" w:rsidRDefault="00A979E9" w:rsidP="00A979E9">
      <w:pPr>
        <w:tabs>
          <w:tab w:val="num" w:pos="426"/>
          <w:tab w:val="left" w:pos="567"/>
          <w:tab w:val="left" w:pos="1560"/>
          <w:tab w:val="right" w:leader="underscore" w:pos="9923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color w:val="000000"/>
          <w:kern w:val="0"/>
          <w:lang w:val="uk-UA" w:eastAsia="ru-RU"/>
          <w14:ligatures w14:val="none"/>
        </w:rPr>
      </w:pPr>
    </w:p>
    <w:p w14:paraId="3BCD1E10" w14:textId="77777777" w:rsidR="00A979E9" w:rsidRPr="00A979E9" w:rsidRDefault="00A979E9" w:rsidP="00A979E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Картриджі повинні забиратись і повертатись </w:t>
      </w:r>
      <w:proofErr w:type="spellStart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>Виконавц</w:t>
      </w:r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>ем</w:t>
      </w:r>
      <w:proofErr w:type="spellEnd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 xml:space="preserve"> </w:t>
      </w:r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>за місцезнаходженням Замовника.</w:t>
      </w: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</w:t>
      </w:r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>Термін виконання заявки не повинен перевищувати од</w:t>
      </w:r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 xml:space="preserve">ин </w:t>
      </w:r>
      <w:proofErr w:type="spellStart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>робочий</w:t>
      </w:r>
      <w:proofErr w:type="spellEnd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 xml:space="preserve"> день</w:t>
      </w:r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 xml:space="preserve"> з моменту отримання заявки </w:t>
      </w:r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>З</w:t>
      </w:r>
      <w:proofErr w:type="spellStart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>амовника</w:t>
      </w:r>
      <w:proofErr w:type="spellEnd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>. Крім того, Виконавець гарантує Замовнику надання підмінного фонду картриджів, заявлених послуг протягом 3х годин з моменту отримання повідомлення від Замовника.</w:t>
      </w:r>
    </w:p>
    <w:p w14:paraId="47071F48" w14:textId="77777777" w:rsidR="00A979E9" w:rsidRPr="00A979E9" w:rsidRDefault="00A979E9" w:rsidP="00A979E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Доставка картриджів від Замовника до лабораторії </w:t>
      </w:r>
      <w:proofErr w:type="spellStart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>Виконавц</w:t>
      </w:r>
      <w:proofErr w:type="spellEnd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 xml:space="preserve">я </w:t>
      </w: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і в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зворотньому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 xml:space="preserve"> напрямку здійснюється за рахунок </w:t>
      </w:r>
      <w:proofErr w:type="spellStart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 w:eastAsia="ar-SA"/>
          <w14:ligatures w14:val="none"/>
        </w:rPr>
        <w:t>Виконавц</w:t>
      </w:r>
      <w:proofErr w:type="spellEnd"/>
      <w:r w:rsidRPr="00A9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 w:eastAsia="ar-SA"/>
          <w14:ligatures w14:val="none"/>
        </w:rPr>
        <w:t>я.</w:t>
      </w:r>
    </w:p>
    <w:p w14:paraId="7747F454" w14:textId="77777777" w:rsidR="00A979E9" w:rsidRPr="00A979E9" w:rsidRDefault="00A979E9" w:rsidP="00A979E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Послуги повинні виконуватись у спеціально обладнаній лабораторії на території Виконавця.</w:t>
      </w:r>
    </w:p>
    <w:p w14:paraId="1E753F4A" w14:textId="77777777" w:rsidR="00A979E9" w:rsidRPr="00A979E9" w:rsidRDefault="00A979E9" w:rsidP="00A979E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4. Послуги повинні виконуватись без порушення цілісності картриджів.</w:t>
      </w:r>
    </w:p>
    <w:p w14:paraId="1309CEA1" w14:textId="77777777" w:rsidR="00A979E9" w:rsidRPr="00A979E9" w:rsidRDefault="00A979E9" w:rsidP="00A979E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5. При виконанні </w:t>
      </w:r>
      <w:r w:rsidRPr="00A979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послуг з заправки картриджа</w:t>
      </w: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 здійснювати наступні операції:</w:t>
      </w:r>
    </w:p>
    <w:p w14:paraId="7A48BAAB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повністю розбирати та очищувати під тиском всі вузли картриджа;</w:t>
      </w:r>
    </w:p>
    <w:p w14:paraId="532E3D90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очищувати та полірувати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фотобарабан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;</w:t>
      </w:r>
    </w:p>
    <w:p w14:paraId="2FFC9880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наносити мастило для зменшення коефіцієнта тертя на лезо очищення;</w:t>
      </w:r>
    </w:p>
    <w:p w14:paraId="08734284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очищувати оболонку магнітного валу та вал первинного заряду;</w:t>
      </w:r>
    </w:p>
    <w:p w14:paraId="48CB7787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очищувати і змащувати струмопровідними мастилами електричні контакти;</w:t>
      </w:r>
    </w:p>
    <w:p w14:paraId="40B54B03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наповнювати тонером </w:t>
      </w: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  <w:t>(див. Табл.1).</w:t>
      </w:r>
    </w:p>
    <w:p w14:paraId="060B8B2F" w14:textId="77777777" w:rsidR="00A979E9" w:rsidRPr="00A979E9" w:rsidRDefault="00A979E9" w:rsidP="00A979E9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uk-UA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b/>
          <w:color w:val="000000"/>
          <w:kern w:val="0"/>
          <w:sz w:val="25"/>
          <w:szCs w:val="25"/>
          <w:lang w:val="uk-UA" w:eastAsia="ar-SA"/>
          <w14:ligatures w14:val="none"/>
        </w:rPr>
        <w:t xml:space="preserve">                                                                   </w:t>
      </w:r>
      <w:r w:rsidRPr="00A979E9">
        <w:rPr>
          <w:rFonts w:ascii="Times New Roman" w:eastAsia="Times New Roman" w:hAnsi="Times New Roman" w:cs="Times New Roman"/>
          <w:b/>
          <w:color w:val="000000"/>
          <w:kern w:val="0"/>
          <w:lang w:val="uk-UA" w:eastAsia="ar-SA"/>
          <w14:ligatures w14:val="none"/>
        </w:rPr>
        <w:t>Таблиця №1</w:t>
      </w:r>
    </w:p>
    <w:p w14:paraId="03E73C6E" w14:textId="77777777" w:rsidR="00A979E9" w:rsidRPr="00A979E9" w:rsidRDefault="00A979E9" w:rsidP="00A979E9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5"/>
          <w:szCs w:val="25"/>
          <w:lang w:val="uk-UA" w:eastAsia="ar-SA"/>
          <w14:ligatures w14:val="none"/>
        </w:rPr>
      </w:pPr>
    </w:p>
    <w:tbl>
      <w:tblPr>
        <w:tblW w:w="80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22"/>
        <w:gridCol w:w="1843"/>
      </w:tblGrid>
      <w:tr w:rsidR="00A979E9" w:rsidRPr="00A979E9" w14:paraId="0F7458B4" w14:textId="77777777" w:rsidTr="002022D6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DD5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</w:pPr>
          </w:p>
          <w:p w14:paraId="55E7C538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  <w:t>№ з/п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450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</w:pPr>
          </w:p>
          <w:p w14:paraId="2694AB47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  <w:t>Найменування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0F2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val="uk-UA" w:eastAsia="ar-SA"/>
                <w14:ligatures w14:val="none"/>
              </w:rPr>
              <w:t>Кількість тонеру ( г.)</w:t>
            </w:r>
          </w:p>
        </w:tc>
      </w:tr>
      <w:tr w:rsidR="00A979E9" w:rsidRPr="00A979E9" w14:paraId="009E2995" w14:textId="77777777" w:rsidTr="002022D6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B1F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highlight w:val="yellow"/>
                <w:lang w:val="uk-UA" w:eastAsia="ar-SA"/>
                <w14:ligatures w14:val="none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B23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highlight w:val="yellow"/>
                <w:lang w:val="uk-UA" w:eastAsia="ar-SA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F64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highlight w:val="yellow"/>
                <w:lang w:val="uk-UA" w:eastAsia="ar-SA"/>
                <w14:ligatures w14:val="none"/>
              </w:rPr>
            </w:pPr>
          </w:p>
        </w:tc>
      </w:tr>
      <w:tr w:rsidR="00A979E9" w:rsidRPr="00A979E9" w14:paraId="344FD262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C1F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46E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D17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80</w:t>
            </w:r>
          </w:p>
        </w:tc>
      </w:tr>
      <w:tr w:rsidR="00A979E9" w:rsidRPr="00A979E9" w14:paraId="6BA25B54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A12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7E4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956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80</w:t>
            </w:r>
          </w:p>
        </w:tc>
      </w:tr>
      <w:tr w:rsidR="00A979E9" w:rsidRPr="00A979E9" w14:paraId="3584A216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5B8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598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236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110</w:t>
            </w:r>
          </w:p>
        </w:tc>
      </w:tr>
      <w:tr w:rsidR="00A979E9" w:rsidRPr="00A979E9" w14:paraId="1BD09DDC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232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797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С-EXV40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403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300</w:t>
            </w:r>
          </w:p>
        </w:tc>
      </w:tr>
      <w:tr w:rsidR="00A979E9" w:rsidRPr="00A979E9" w14:paraId="1B64F4E0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170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839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Картридж HP  30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7F0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60</w:t>
            </w:r>
          </w:p>
        </w:tc>
      </w:tr>
      <w:tr w:rsidR="00A979E9" w:rsidRPr="00A979E9" w14:paraId="51E5FC78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22E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927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Картридж HP  17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116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60</w:t>
            </w:r>
          </w:p>
        </w:tc>
      </w:tr>
      <w:tr w:rsidR="00A979E9" w:rsidRPr="00A979E9" w14:paraId="10AE948A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943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F18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К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артридж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</w:t>
            </w: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A05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60</w:t>
            </w:r>
          </w:p>
        </w:tc>
      </w:tr>
      <w:tr w:rsidR="00A979E9" w:rsidRPr="00A979E9" w14:paraId="12D20ECD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9FE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02B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К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артридж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>Canon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uk-UA" w:eastAsia="ar-SA"/>
                <w14:ligatures w14:val="none"/>
              </w:rPr>
              <w:t xml:space="preserve"> </w:t>
            </w: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29F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160</w:t>
            </w:r>
          </w:p>
        </w:tc>
      </w:tr>
      <w:tr w:rsidR="00A979E9" w:rsidRPr="00A979E9" w14:paraId="2A1F224A" w14:textId="77777777" w:rsidTr="002022D6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B6D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CFB" w14:textId="77777777" w:rsidR="00A979E9" w:rsidRPr="00A979E9" w:rsidRDefault="00A979E9" w:rsidP="00A97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Картридж </w:t>
            </w:r>
            <w:proofErr w:type="spellStart"/>
            <w:r w:rsidRPr="00A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Samsung</w:t>
            </w:r>
            <w:proofErr w:type="spellEnd"/>
            <w:r w:rsidRPr="00A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 xml:space="preserve"> MLT-D111S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E7D" w14:textId="77777777" w:rsidR="00A979E9" w:rsidRPr="00A979E9" w:rsidRDefault="00A979E9" w:rsidP="00A97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ru-RU" w:eastAsia="ar-SA"/>
                <w14:ligatures w14:val="none"/>
              </w:rPr>
            </w:pPr>
            <w:r w:rsidRPr="00A979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  <w14:ligatures w14:val="none"/>
              </w:rPr>
              <w:t>80</w:t>
            </w:r>
          </w:p>
        </w:tc>
      </w:tr>
    </w:tbl>
    <w:p w14:paraId="0773348C" w14:textId="77777777" w:rsidR="00A979E9" w:rsidRPr="00A979E9" w:rsidRDefault="00A979E9" w:rsidP="00A979E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ar-SA"/>
          <w14:ligatures w14:val="none"/>
        </w:rPr>
      </w:pPr>
    </w:p>
    <w:p w14:paraId="69B39328" w14:textId="77777777" w:rsidR="00A979E9" w:rsidRPr="00A979E9" w:rsidRDefault="00A979E9" w:rsidP="00A979E9">
      <w:pPr>
        <w:shd w:val="clear" w:color="auto" w:fill="FFFFFF"/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6. При виконанні </w:t>
      </w:r>
      <w:r w:rsidRPr="00A979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послуг з відновлення картриджа</w:t>
      </w: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 здійснювати наступні операції:</w:t>
      </w:r>
    </w:p>
    <w:p w14:paraId="29215D7E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повністю розбирати та очищувати під тиском всі вузли картриджа;</w:t>
      </w:r>
    </w:p>
    <w:p w14:paraId="000C7D33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проводити заміну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фотобарабану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, леза очищення, валу первинного заряду, оболонки магнітного валу та леза дозування;</w:t>
      </w:r>
    </w:p>
    <w:p w14:paraId="7A2BB982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полірувати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фотобарабан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;</w:t>
      </w:r>
    </w:p>
    <w:p w14:paraId="7A78A1F7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наносити мастило для зменшення коефіцієнта тертя на лезо очищення;</w:t>
      </w:r>
    </w:p>
    <w:p w14:paraId="00EA8462" w14:textId="77777777" w:rsidR="00A979E9" w:rsidRPr="00A979E9" w:rsidRDefault="00A979E9" w:rsidP="00A979E9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очищувати і змащувати струмопровідними мастилами електричні контакти.</w:t>
      </w:r>
    </w:p>
    <w:p w14:paraId="3FE55C9F" w14:textId="77777777" w:rsidR="00A979E9" w:rsidRPr="00A979E9" w:rsidRDefault="00A979E9" w:rsidP="00A979E9">
      <w:pPr>
        <w:suppressAutoHyphens/>
        <w:spacing w:after="0" w:line="240" w:lineRule="auto"/>
        <w:ind w:left="-284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MS Mincho" w:hAnsi="Times New Roman" w:cs="Times New Roman"/>
          <w:spacing w:val="3"/>
          <w:kern w:val="0"/>
          <w:sz w:val="24"/>
          <w:szCs w:val="24"/>
          <w:lang w:val="uk-UA" w:eastAsia="ru-RU"/>
          <w14:ligatures w14:val="none"/>
        </w:rPr>
        <w:t xml:space="preserve">7. Після здійснення </w:t>
      </w:r>
      <w:r w:rsidRPr="00A979E9"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заправки чи відновлення картриджів повинна проводитись їх технічна експертиза і тестування на принтері або копіювальному </w:t>
      </w:r>
      <w:proofErr w:type="spellStart"/>
      <w:r w:rsidRPr="00A979E9"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  <w:t>апараті</w:t>
      </w:r>
      <w:proofErr w:type="spellEnd"/>
      <w:r w:rsidRPr="00A979E9"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5D1F225E" w14:textId="77777777" w:rsidR="00A979E9" w:rsidRPr="00A979E9" w:rsidRDefault="00A979E9" w:rsidP="00A979E9">
      <w:pPr>
        <w:suppressAutoHyphens/>
        <w:spacing w:after="0" w:line="240" w:lineRule="auto"/>
        <w:ind w:left="-284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8. Ресурс роботи картриджа, після виконання послуг, повинен дорівнювати ресурсу роботи заявленим виробником картриджів. </w:t>
      </w:r>
    </w:p>
    <w:p w14:paraId="0E7656F4" w14:textId="77777777" w:rsidR="00A979E9" w:rsidRPr="00A979E9" w:rsidRDefault="00A979E9" w:rsidP="00A979E9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979E9">
        <w:rPr>
          <w:rFonts w:ascii="Times New Roman" w:eastAsia="MS Mincho" w:hAnsi="Times New Roman" w:cs="Times New Roman"/>
          <w:spacing w:val="3"/>
          <w:kern w:val="0"/>
          <w:sz w:val="24"/>
          <w:szCs w:val="24"/>
          <w:lang w:val="uk-UA" w:eastAsia="ru-RU"/>
          <w14:ligatures w14:val="none"/>
        </w:rPr>
        <w:t xml:space="preserve">10. Після здійснення </w:t>
      </w:r>
      <w:r w:rsidRPr="00A979E9">
        <w:rPr>
          <w:rFonts w:ascii="Times New Roman" w:eastAsia="MS Mincho" w:hAnsi="Times New Roman" w:cs="Times New Roman"/>
          <w:kern w:val="0"/>
          <w:sz w:val="24"/>
          <w:szCs w:val="24"/>
          <w:lang w:val="uk-UA" w:eastAsia="ru-RU"/>
          <w14:ligatures w14:val="none"/>
        </w:rPr>
        <w:t>заправки або відновлення картриджа він повинен належним чином опломбовуватись (для запобігання доступу у середину картриджа сторонніх ) та мати на корпусі фірмову наклейку з відмітками</w:t>
      </w:r>
      <w:r w:rsidRPr="00A979E9">
        <w:rPr>
          <w:rFonts w:ascii="Times New Roman" w:eastAsia="MS Mincho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6CF28A35" w14:textId="77777777" w:rsidR="00A979E9" w:rsidRPr="00A979E9" w:rsidRDefault="00A979E9" w:rsidP="00A979E9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11. Картриджі повинні упаковуватись у герметичні світлонепроникні пакети.</w:t>
      </w:r>
    </w:p>
    <w:p w14:paraId="2FACFC9B" w14:textId="77777777" w:rsidR="00A979E9" w:rsidRPr="00A979E9" w:rsidRDefault="00A979E9" w:rsidP="00A979E9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12. Кожен пакет з картриджем повинен містити в собі тестову сторінку, надруковану на принтері або копіювальному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апараті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 допомогою цього картриджа.</w:t>
      </w:r>
    </w:p>
    <w:p w14:paraId="1A6388C6" w14:textId="77777777" w:rsidR="00A979E9" w:rsidRPr="00A979E9" w:rsidRDefault="00A979E9" w:rsidP="00A979E9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13. </w:t>
      </w: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У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разі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виявлення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недоліків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(браку) по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якості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наданих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послуг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Виконавець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повинен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усунути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їх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за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власний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рахунок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протягом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1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робочого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 xml:space="preserve"> дня.</w:t>
      </w:r>
    </w:p>
    <w:p w14:paraId="7782CBD3" w14:textId="77777777" w:rsidR="00A979E9" w:rsidRPr="00A979E9" w:rsidRDefault="00A979E9" w:rsidP="00A979E9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14.Відповідальність за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виконання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вимог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екологічної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безпеки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та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вимог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із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забезпечення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вимог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техніки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безпеки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при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виконанні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робіт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несе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Виконавець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.</w:t>
      </w:r>
    </w:p>
    <w:p w14:paraId="6FD24AD2" w14:textId="77777777" w:rsidR="00A979E9" w:rsidRPr="00A979E9" w:rsidRDefault="00A979E9" w:rsidP="00A979E9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15.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Після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заправки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або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відновлення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в картриджах повинно бути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стандартний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об’єм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тонера (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згідно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з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технічних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характеристик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картриджів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відповідно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до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стандартів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фірм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виробників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),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друк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контрастний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, з гарною передачею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півтонів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, без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смуг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 xml:space="preserve"> і </w:t>
      </w:r>
      <w:proofErr w:type="spellStart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рисочок</w:t>
      </w:r>
      <w:proofErr w:type="spellEnd"/>
      <w:r w:rsidRPr="00A979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ar-SA"/>
          <w14:ligatures w14:val="none"/>
        </w:rPr>
        <w:t>.</w:t>
      </w:r>
    </w:p>
    <w:p w14:paraId="718D4D27" w14:textId="77777777" w:rsidR="00A979E9" w:rsidRPr="00A979E9" w:rsidRDefault="00A979E9" w:rsidP="00A979E9">
      <w:pPr>
        <w:tabs>
          <w:tab w:val="left" w:pos="-142"/>
          <w:tab w:val="left" w:pos="426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ru-RU" w:eastAsia="uk-UA"/>
          <w14:ligatures w14:val="none"/>
        </w:rPr>
      </w:pPr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16.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Учасник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визначає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ціни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на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послуги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які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він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пропонує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надати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за Договором, з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урахуванням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усіх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своїх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витрат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: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прибуття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до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Замовника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страхування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податків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і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зборів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що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сплачуються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або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мають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бути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сплачені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усіх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інших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витрат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тощо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. У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вартість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Послуг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входить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вартість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витратних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матеріалів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: тонера, чипа, фотобарабана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ущільнювача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мастила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полірувальних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паст, </w:t>
      </w:r>
      <w:proofErr w:type="spellStart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тощо</w:t>
      </w:r>
      <w:proofErr w:type="spellEnd"/>
      <w:r w:rsidRPr="00A979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.</w:t>
      </w:r>
    </w:p>
    <w:p w14:paraId="54D5BC8A" w14:textId="77777777" w:rsidR="00A979E9" w:rsidRPr="00A979E9" w:rsidRDefault="00A979E9" w:rsidP="00A9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E23E5E0" w14:textId="77777777" w:rsidR="00A979E9" w:rsidRPr="00A979E9" w:rsidRDefault="00A979E9" w:rsidP="00A979E9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kern w:val="0"/>
          <w:lang w:val="uk-UA" w:eastAsia="ar-SA"/>
          <w14:ligatures w14:val="none"/>
        </w:rPr>
      </w:pPr>
      <w:r w:rsidRPr="00A979E9">
        <w:rPr>
          <w:rFonts w:ascii="Times New Roman" w:eastAsia="Times New Roman" w:hAnsi="Times New Roman" w:cs="Times New Roman"/>
          <w:b/>
          <w:caps/>
          <w:kern w:val="0"/>
          <w:lang w:val="uk-UA" w:eastAsia="ar-SA"/>
          <w14:ligatures w14:val="none"/>
        </w:rPr>
        <w:t>Документальне підтвердження ВІДПОВІДНОСТІ технічниМ, якісниМ та кількісниМ характеристикАМ ПРЕДМЕТУ ЗАКУПІВЛІ:</w:t>
      </w:r>
    </w:p>
    <w:p w14:paraId="4236BD55" w14:textId="77777777" w:rsidR="00A979E9" w:rsidRPr="00A979E9" w:rsidRDefault="00A979E9" w:rsidP="00A979E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1. Учасник у складі тендерної пропозиції повинен надати оригінал або копії документів, що підтверджують наявність в учасника станції очистки картриджів (технічний паспорт виданий учаснику або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оборотно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-сальдова відомість або витяг з неї/діючий договір оренди станції).</w:t>
      </w:r>
    </w:p>
    <w:p w14:paraId="490A4291" w14:textId="77777777" w:rsidR="00A979E9" w:rsidRPr="00A979E9" w:rsidRDefault="00A979E9" w:rsidP="00A979E9">
      <w:pPr>
        <w:suppressAutoHyphens/>
        <w:spacing w:before="150" w:after="15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2. Учасник у складі тендерної пропозиції повинен надати оригінал або копію висновку державної санітарно-епідеміологічної експертизи на станцію очистки картриджів, яка використовується для очистки лазерних картриджів від залишків тонеру під час робіт пов’язаних із заправкою/відновленням картриджів, дійсного на момент розкриття пропозицій.</w:t>
      </w:r>
    </w:p>
    <w:p w14:paraId="29A8829A" w14:textId="77777777" w:rsidR="00A979E9" w:rsidRPr="00A979E9" w:rsidRDefault="00A979E9" w:rsidP="00A979E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ru-RU" w:eastAsia="ru-RU"/>
          <w14:ligatures w14:val="none"/>
        </w:rPr>
        <w:t>3</w:t>
      </w: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Учасник у складі тендерної пропозиції повинен надати Документи щодо витратних матеріалів та запчастин. Витратні матеріали (тонер,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фотоциліндри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, очищувальні та дозуючі леза валів магнітних та первинного заряду, чипи), які використовуватимуться при наданні послуг, повинні бути новими,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та тимчасово окупованих територій. На підтвердження учасник має надати:</w:t>
      </w:r>
    </w:p>
    <w:p w14:paraId="40A72430" w14:textId="77777777" w:rsidR="00A979E9" w:rsidRPr="00A979E9" w:rsidRDefault="00A979E9" w:rsidP="00A979E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3.1 Оригінал або копія завіреного уповноваженою особою сертифікату походження товару (копію інвойсу в разі імпорту) на витратні матеріали (тонеру,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фотоциліндрів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, очищувальних та дозуючих лез валів магнітних та первинного заряду, чипів), що будуть використані для виконання робіт, виданий уповноваженою установою виробнику тонеру, відповідно до законодавства країни походження.</w:t>
      </w:r>
    </w:p>
    <w:p w14:paraId="672421E6" w14:textId="77777777" w:rsidR="00A979E9" w:rsidRPr="00A979E9" w:rsidRDefault="00A979E9" w:rsidP="00A979E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3.2 Оригінал або копії висновків державної санітарно-епідеміологічної експертизи на витратні матеріали запропонованих виробників, відповідно сертифікату походження (тонеру,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фотоциліндрів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очищувальних та дозуючих лез валів магнітних та первинного заряду, чипів) які використовуються при наданні послуг з заправки/відновлення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тонерних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картриджів, є безпечним для застосування за призначенням та оточуючого персоналу, дійсні на момент розкриття пропозицій. </w:t>
      </w:r>
    </w:p>
    <w:p w14:paraId="703553F0" w14:textId="77777777" w:rsidR="00A979E9" w:rsidRPr="00A979E9" w:rsidRDefault="00A979E9" w:rsidP="00A979E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ru-RU" w:eastAsia="ru-RU"/>
          <w14:ligatures w14:val="none"/>
        </w:rPr>
        <w:t>4</w:t>
      </w: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. Гарантійний лист за підписом учасника про:</w:t>
      </w:r>
    </w:p>
    <w:p w14:paraId="48E200CB" w14:textId="77777777" w:rsidR="00A979E9" w:rsidRPr="00A979E9" w:rsidRDefault="00A979E9" w:rsidP="00A979E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- гарантійні обов’язки на запропоновані витратні матеріали та запчастини - не менше 12 місяців,</w:t>
      </w:r>
    </w:p>
    <w:p w14:paraId="21454716" w14:textId="77777777" w:rsidR="00A979E9" w:rsidRPr="00A979E9" w:rsidRDefault="00A979E9" w:rsidP="00A979E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- виконання вимог до тари та упаковки – картриджі повинні окремо упаковуватись у герметичні світлонепроникні пакети та мати індивідуальне маркування.</w:t>
      </w:r>
    </w:p>
    <w:p w14:paraId="79C4DA93" w14:textId="77777777" w:rsidR="00A979E9" w:rsidRPr="00A979E9" w:rsidRDefault="00A979E9" w:rsidP="00A979E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5. Учасник у складі тендерної пропозиції повинен надати оригінал або копії сертифікатів міжнародного зразка, про наявність у виробника (або імпортера) запропонованих витратних матеріалів (тонеру,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фотоциліндрів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, очищувальних та дозуючих лез валів магнітних та первинного заряду, чипів) системи управління якістю ISO 9001:2015 та системи екологічного управління ISO 14001:2015, виданих органом з сертифікації систем менеджменту, який офіційно акредитований Національним агентством з акредитації України, дійсних на момент подання пропозицій. Надати копію атестату про акредитацію організації, яка сертифікувала системи менеджменту, у відповідності до вимог ДСТУ EN ISO/IEC 17021-1:2017 (ISO/IEC 17021-1:2015).</w:t>
      </w:r>
    </w:p>
    <w:p w14:paraId="10023377" w14:textId="77777777" w:rsidR="00A979E9" w:rsidRPr="00A979E9" w:rsidRDefault="00A979E9" w:rsidP="00A979E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6. В разі якщо Учасник не є виробником (або імпортером) витратних матеріалів (тонеру, </w:t>
      </w:r>
      <w:proofErr w:type="spellStart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фотоциліндрів</w:t>
      </w:r>
      <w:proofErr w:type="spellEnd"/>
      <w:r w:rsidRPr="00A979E9">
        <w:rPr>
          <w:rFonts w:ascii="Times New Roman" w:eastAsia="Arial" w:hAnsi="Times New Roman" w:cs="Times New Roman"/>
          <w:kern w:val="0"/>
          <w:sz w:val="24"/>
          <w:szCs w:val="24"/>
          <w:lang w:val="uk-UA" w:eastAsia="ru-RU"/>
          <w14:ligatures w14:val="none"/>
        </w:rPr>
        <w:t>, очищувальних та дозуючих лез, валів магнітних та первинного заряду, чипів картриджів), необхідно додатково надати у складі своєї пропозиції оригінал листа авторизації Учасника, в якому буде зазначено, що учасник є авторизованим партнером або офіційним представником виробника (або імпортера). Даний лист повинен бути адресований Замовнику торгів та містити ідентифікатор закупівлі та назву предмету закупівлі.</w:t>
      </w:r>
    </w:p>
    <w:p w14:paraId="29F2868C" w14:textId="77777777" w:rsidR="00A979E9" w:rsidRPr="00A979E9" w:rsidRDefault="00A979E9" w:rsidP="00A979E9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Примітки:</w:t>
      </w:r>
    </w:p>
    <w:p w14:paraId="5820659E" w14:textId="77777777" w:rsidR="00A979E9" w:rsidRPr="00A979E9" w:rsidRDefault="00A979E9" w:rsidP="00A979E9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Будь-які посилання в технічних вимогах на конкретну торговельну марку або тип, передбачає надання еквіваленту (технічні вимоги еквіваленту не повинні бути гіршими).</w:t>
      </w:r>
    </w:p>
    <w:p w14:paraId="6DE734E7" w14:textId="77777777" w:rsidR="00A979E9" w:rsidRPr="00A979E9" w:rsidRDefault="00A979E9" w:rsidP="00A979E9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У разі надання еквіваленту, Учасник в пропозиції повинен зазначити найменування та технічні характеристики запропонованого еквіваленту. Запропонований учасником еквівалент предмету закупівлі за своїми технічними характеристиками повинен бути не гіршим.</w:t>
      </w:r>
    </w:p>
    <w:p w14:paraId="59E563A0" w14:textId="77777777" w:rsidR="00A979E9" w:rsidRPr="00A979E9" w:rsidRDefault="00A979E9" w:rsidP="00A979E9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Документи вказані в пунктах </w:t>
      </w: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3</w:t>
      </w: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,</w:t>
      </w: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5</w:t>
      </w: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,</w:t>
      </w: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6</w:t>
      </w:r>
      <w:r w:rsidRPr="00A979E9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 повинні належати одному виробнику/імпортеру.</w:t>
      </w:r>
    </w:p>
    <w:p w14:paraId="225983B8" w14:textId="77777777" w:rsidR="00A979E9" w:rsidRDefault="00A979E9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5A09A74F" w14:textId="77777777" w:rsidR="0019202F" w:rsidRPr="00DF6BD7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DF6BD7">
        <w:rPr>
          <w:sz w:val="28"/>
          <w:szCs w:val="28"/>
        </w:rPr>
        <w:t>Очікувана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вартість</w:t>
      </w:r>
      <w:proofErr w:type="spellEnd"/>
      <w:r w:rsidRPr="00DF6B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послуг </w:t>
      </w:r>
      <w:proofErr w:type="spellStart"/>
      <w:r w:rsidRPr="00DF6BD7">
        <w:rPr>
          <w:sz w:val="28"/>
          <w:szCs w:val="28"/>
        </w:rPr>
        <w:t>визначена</w:t>
      </w:r>
      <w:proofErr w:type="spellEnd"/>
      <w:r w:rsidRPr="00DF6BD7">
        <w:rPr>
          <w:sz w:val="28"/>
          <w:szCs w:val="28"/>
        </w:rPr>
        <w:t xml:space="preserve"> з </w:t>
      </w:r>
      <w:proofErr w:type="spellStart"/>
      <w:r w:rsidRPr="00DF6BD7">
        <w:rPr>
          <w:sz w:val="28"/>
          <w:szCs w:val="28"/>
        </w:rPr>
        <w:t>урахуванням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положень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Примірної</w:t>
      </w:r>
      <w:proofErr w:type="spellEnd"/>
      <w:r w:rsidRPr="00DF6BD7">
        <w:rPr>
          <w:sz w:val="28"/>
          <w:szCs w:val="28"/>
        </w:rPr>
        <w:t xml:space="preserve"> методики </w:t>
      </w:r>
      <w:proofErr w:type="spellStart"/>
      <w:r w:rsidRPr="00DF6BD7">
        <w:rPr>
          <w:sz w:val="28"/>
          <w:szCs w:val="28"/>
        </w:rPr>
        <w:t>визначення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очікуваної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вартості</w:t>
      </w:r>
      <w:proofErr w:type="spellEnd"/>
      <w:r w:rsidRPr="00DF6BD7">
        <w:rPr>
          <w:sz w:val="28"/>
          <w:szCs w:val="28"/>
        </w:rPr>
        <w:t xml:space="preserve"> предмета </w:t>
      </w:r>
      <w:proofErr w:type="spellStart"/>
      <w:r w:rsidRPr="00DF6BD7">
        <w:rPr>
          <w:sz w:val="28"/>
          <w:szCs w:val="28"/>
        </w:rPr>
        <w:t>закупівлі</w:t>
      </w:r>
      <w:proofErr w:type="spellEnd"/>
      <w:r w:rsidRPr="00DF6BD7">
        <w:rPr>
          <w:sz w:val="28"/>
          <w:szCs w:val="28"/>
        </w:rPr>
        <w:t xml:space="preserve">, </w:t>
      </w:r>
      <w:proofErr w:type="spellStart"/>
      <w:r w:rsidRPr="00DF6BD7">
        <w:rPr>
          <w:sz w:val="28"/>
          <w:szCs w:val="28"/>
        </w:rPr>
        <w:t>затвердженої</w:t>
      </w:r>
      <w:proofErr w:type="spellEnd"/>
      <w:r w:rsidRPr="00DF6BD7">
        <w:rPr>
          <w:sz w:val="28"/>
          <w:szCs w:val="28"/>
        </w:rPr>
        <w:t xml:space="preserve"> наказом </w:t>
      </w:r>
      <w:proofErr w:type="spellStart"/>
      <w:r w:rsidRPr="00DF6BD7">
        <w:rPr>
          <w:sz w:val="28"/>
          <w:szCs w:val="28"/>
        </w:rPr>
        <w:t>Міністерства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розвитку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економіки</w:t>
      </w:r>
      <w:proofErr w:type="spellEnd"/>
      <w:r w:rsidRPr="00DF6BD7">
        <w:rPr>
          <w:sz w:val="28"/>
          <w:szCs w:val="28"/>
        </w:rPr>
        <w:t xml:space="preserve">, </w:t>
      </w:r>
      <w:proofErr w:type="spellStart"/>
      <w:r w:rsidRPr="00DF6BD7">
        <w:rPr>
          <w:sz w:val="28"/>
          <w:szCs w:val="28"/>
        </w:rPr>
        <w:t>торгівлі</w:t>
      </w:r>
      <w:proofErr w:type="spellEnd"/>
      <w:r w:rsidRPr="00DF6BD7">
        <w:rPr>
          <w:sz w:val="28"/>
          <w:szCs w:val="28"/>
        </w:rPr>
        <w:t xml:space="preserve"> та </w:t>
      </w:r>
      <w:proofErr w:type="spellStart"/>
      <w:r w:rsidRPr="00DF6BD7">
        <w:rPr>
          <w:sz w:val="28"/>
          <w:szCs w:val="28"/>
        </w:rPr>
        <w:t>сільського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господарства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України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від</w:t>
      </w:r>
      <w:proofErr w:type="spellEnd"/>
      <w:r w:rsidRPr="00DF6BD7">
        <w:rPr>
          <w:sz w:val="28"/>
          <w:szCs w:val="28"/>
        </w:rPr>
        <w:t xml:space="preserve"> 18.02.2020 року № 275</w:t>
      </w:r>
      <w:r>
        <w:rPr>
          <w:sz w:val="28"/>
          <w:szCs w:val="28"/>
          <w:lang w:val="uk-UA"/>
        </w:rPr>
        <w:t xml:space="preserve"> та аналізу цін на </w:t>
      </w:r>
      <w:proofErr w:type="spellStart"/>
      <w:r w:rsidRPr="006D2D73">
        <w:rPr>
          <w:sz w:val="28"/>
          <w:szCs w:val="28"/>
          <w:lang w:val="uk-UA"/>
        </w:rPr>
        <w:t>Prozorro</w:t>
      </w:r>
      <w:proofErr w:type="spellEnd"/>
      <w:r w:rsidRPr="00DF6BD7">
        <w:rPr>
          <w:sz w:val="28"/>
          <w:szCs w:val="28"/>
        </w:rPr>
        <w:t>.</w:t>
      </w:r>
    </w:p>
    <w:p w14:paraId="5303C519" w14:textId="77777777" w:rsidR="0019202F" w:rsidRPr="0000146E" w:rsidRDefault="0019202F" w:rsidP="0019202F">
      <w:pPr>
        <w:contextualSpacing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E46AC5">
        <w:rPr>
          <w:sz w:val="28"/>
          <w:szCs w:val="28"/>
        </w:rPr>
        <w:t> </w:t>
      </w:r>
    </w:p>
    <w:p w14:paraId="58049425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5C2D3C5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765EE7D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53C25215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37F051C0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ACF2BC1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28AA4CD" w14:textId="77777777" w:rsidR="0019202F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3983AB4" w14:textId="77777777"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709E13C" w14:textId="77777777"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bookmarkEnd w:id="0"/>
    <w:bookmarkEnd w:id="1"/>
    <w:sectPr w:rsidR="00A9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9202F"/>
    <w:rsid w:val="001C2019"/>
    <w:rsid w:val="00204662"/>
    <w:rsid w:val="002C31E4"/>
    <w:rsid w:val="003506E8"/>
    <w:rsid w:val="004810EC"/>
    <w:rsid w:val="00497023"/>
    <w:rsid w:val="00515314"/>
    <w:rsid w:val="00516236"/>
    <w:rsid w:val="00516AFB"/>
    <w:rsid w:val="00554A12"/>
    <w:rsid w:val="005650CE"/>
    <w:rsid w:val="006D2D73"/>
    <w:rsid w:val="00762AF2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F6BD7"/>
    <w:rsid w:val="00E101F0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13</cp:revision>
  <dcterms:created xsi:type="dcterms:W3CDTF">2024-08-12T10:23:00Z</dcterms:created>
  <dcterms:modified xsi:type="dcterms:W3CDTF">2024-08-12T14:28:00Z</dcterms:modified>
</cp:coreProperties>
</file>